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718E4" w14:textId="77777777" w:rsidR="00EF22E7" w:rsidRPr="00EF22E7" w:rsidRDefault="00EF22E7" w:rsidP="00EF22E7">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EF22E7">
        <w:rPr>
          <w:rFonts w:ascii="Times New Roman" w:eastAsia="Times New Roman" w:hAnsi="Times New Roman" w:cs="Times New Roman"/>
          <w:b/>
          <w:bCs/>
          <w:sz w:val="27"/>
          <w:szCs w:val="27"/>
          <w:lang w:eastAsia="en-AU"/>
        </w:rPr>
        <w:t>An artist's guide to the ACT Budget</w:t>
      </w:r>
    </w:p>
    <w:p w14:paraId="1482987B"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by Jack Lloyd</w:t>
      </w:r>
    </w:p>
    <w:p w14:paraId="018024F3"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The ACT Budget will be unveiled on Tuesday, 5 June 2018, and each year the Budget has a real impact on the level of arts activity, services and opportunities in the ACT. Inspired by Ben Eltham’s </w:t>
      </w:r>
      <w:hyperlink r:id="rId4" w:history="1">
        <w:r w:rsidRPr="00EF22E7">
          <w:rPr>
            <w:rFonts w:ascii="Times New Roman" w:eastAsia="Times New Roman" w:hAnsi="Times New Roman" w:cs="Times New Roman"/>
            <w:color w:val="0000FF"/>
            <w:sz w:val="24"/>
            <w:szCs w:val="24"/>
            <w:u w:val="single"/>
            <w:lang w:eastAsia="en-AU"/>
          </w:rPr>
          <w:t>Handy Guide to Reading Government Budget Documents</w:t>
        </w:r>
      </w:hyperlink>
      <w:r w:rsidRPr="00EF22E7">
        <w:rPr>
          <w:rFonts w:ascii="Times New Roman" w:eastAsia="Times New Roman" w:hAnsi="Times New Roman" w:cs="Times New Roman"/>
          <w:sz w:val="24"/>
          <w:szCs w:val="24"/>
          <w:lang w:eastAsia="en-AU"/>
        </w:rPr>
        <w:t>, I wanted to help artists and arts supporters in the ACT to find and understand these impacts as quickly as possible.</w:t>
      </w:r>
    </w:p>
    <w:p w14:paraId="2C163128"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The ACT Budget can be a daunting piece of work, with hundreds of pages to sift through and a lot of technical language. But if we know what we’re looking for it’s a lot easier.</w:t>
      </w:r>
    </w:p>
    <w:p w14:paraId="6A688BD2"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We’ll be breaking down the whole budget to find every little scrap of arts info we can get our hands on. Let’s get stuck in, hey?</w:t>
      </w:r>
    </w:p>
    <w:p w14:paraId="47C8D6C9" w14:textId="6FED2340"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drawing>
          <wp:inline distT="0" distB="0" distL="0" distR="0" wp14:anchorId="153A0738" wp14:editId="63132130">
            <wp:extent cx="2676525" cy="2857500"/>
            <wp:effectExtent l="0" t="0" r="9525" b="0"/>
            <wp:docPr id="12" name="Picture 12" descr="http://www.childersgroup.com.au/wp-content/uploads/2018/05/12-281x30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ldersgroup.com.au/wp-content/uploads/2018/05/12-281x300.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6525" cy="2857500"/>
                    </a:xfrm>
                    <a:prstGeom prst="rect">
                      <a:avLst/>
                    </a:prstGeom>
                    <a:noFill/>
                    <a:ln>
                      <a:noFill/>
                    </a:ln>
                  </pic:spPr>
                </pic:pic>
              </a:graphicData>
            </a:graphic>
          </wp:inline>
        </w:drawing>
      </w:r>
    </w:p>
    <w:p w14:paraId="7EE4B6EE"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w:t>
      </w:r>
    </w:p>
    <w:p w14:paraId="274AC777" w14:textId="77777777" w:rsidR="00EF22E7" w:rsidRPr="00EF22E7" w:rsidRDefault="00EF22E7" w:rsidP="00EF22E7">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EF22E7">
        <w:rPr>
          <w:rFonts w:ascii="Times New Roman" w:eastAsia="Times New Roman" w:hAnsi="Times New Roman" w:cs="Times New Roman"/>
          <w:b/>
          <w:bCs/>
          <w:sz w:val="27"/>
          <w:szCs w:val="27"/>
          <w:lang w:eastAsia="en-AU"/>
        </w:rPr>
        <w:t xml:space="preserve">What’s </w:t>
      </w:r>
      <w:proofErr w:type="gramStart"/>
      <w:r w:rsidRPr="00EF22E7">
        <w:rPr>
          <w:rFonts w:ascii="Times New Roman" w:eastAsia="Times New Roman" w:hAnsi="Times New Roman" w:cs="Times New Roman"/>
          <w:b/>
          <w:bCs/>
          <w:sz w:val="27"/>
          <w:szCs w:val="27"/>
          <w:lang w:eastAsia="en-AU"/>
        </w:rPr>
        <w:t>In</w:t>
      </w:r>
      <w:proofErr w:type="gramEnd"/>
      <w:r w:rsidRPr="00EF22E7">
        <w:rPr>
          <w:rFonts w:ascii="Times New Roman" w:eastAsia="Times New Roman" w:hAnsi="Times New Roman" w:cs="Times New Roman"/>
          <w:b/>
          <w:bCs/>
          <w:sz w:val="27"/>
          <w:szCs w:val="27"/>
          <w:lang w:eastAsia="en-AU"/>
        </w:rPr>
        <w:t xml:space="preserve"> There?</w:t>
      </w:r>
    </w:p>
    <w:p w14:paraId="7AD2F592"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New funding for announcements and initiatives, and changes to existing construction budgets.</w:t>
      </w:r>
    </w:p>
    <w:p w14:paraId="1D075DB8" w14:textId="79CFE37F" w:rsidR="00EF22E7" w:rsidRPr="00EF22E7" w:rsidRDefault="00EF22E7" w:rsidP="00EF22E7">
      <w:pPr>
        <w:spacing w:before="100" w:beforeAutospacing="1" w:after="100" w:afterAutospacing="1" w:line="240" w:lineRule="auto"/>
        <w:rPr>
          <w:rFonts w:ascii="Times New Roman" w:eastAsia="Times New Roman" w:hAnsi="Times New Roman" w:cs="Times New Roman"/>
          <w:b/>
          <w:bCs/>
          <w:sz w:val="27"/>
          <w:szCs w:val="27"/>
          <w:lang w:eastAsia="en-AU"/>
        </w:rPr>
      </w:pPr>
      <w:r w:rsidRPr="00EF22E7">
        <w:rPr>
          <w:rFonts w:ascii="Times New Roman" w:eastAsia="Times New Roman" w:hAnsi="Times New Roman" w:cs="Times New Roman"/>
          <w:sz w:val="24"/>
          <w:szCs w:val="24"/>
          <w:lang w:eastAsia="en-AU"/>
        </w:rPr>
        <w:t> </w:t>
      </w:r>
      <w:r w:rsidRPr="00EF22E7">
        <w:rPr>
          <w:rFonts w:ascii="Times New Roman" w:eastAsia="Times New Roman" w:hAnsi="Times New Roman" w:cs="Times New Roman"/>
          <w:b/>
          <w:bCs/>
          <w:sz w:val="27"/>
          <w:szCs w:val="27"/>
          <w:lang w:eastAsia="en-AU"/>
        </w:rPr>
        <w:t xml:space="preserve">What’s Not </w:t>
      </w:r>
      <w:proofErr w:type="gramStart"/>
      <w:r w:rsidRPr="00EF22E7">
        <w:rPr>
          <w:rFonts w:ascii="Times New Roman" w:eastAsia="Times New Roman" w:hAnsi="Times New Roman" w:cs="Times New Roman"/>
          <w:b/>
          <w:bCs/>
          <w:sz w:val="27"/>
          <w:szCs w:val="27"/>
          <w:lang w:eastAsia="en-AU"/>
        </w:rPr>
        <w:t>In</w:t>
      </w:r>
      <w:proofErr w:type="gramEnd"/>
      <w:r w:rsidRPr="00EF22E7">
        <w:rPr>
          <w:rFonts w:ascii="Times New Roman" w:eastAsia="Times New Roman" w:hAnsi="Times New Roman" w:cs="Times New Roman"/>
          <w:b/>
          <w:bCs/>
          <w:sz w:val="27"/>
          <w:szCs w:val="27"/>
          <w:lang w:eastAsia="en-AU"/>
        </w:rPr>
        <w:t xml:space="preserve"> There?</w:t>
      </w:r>
    </w:p>
    <w:p w14:paraId="3EA32187"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Aside from the total level of arts and cultural funding in certain areas, cuts to individual programs or funding areas are often invisible. Anywhere that funds are transferred within a budget, including </w:t>
      </w:r>
      <w:proofErr w:type="spellStart"/>
      <w:r w:rsidRPr="00EF22E7">
        <w:rPr>
          <w:rFonts w:ascii="Times New Roman" w:eastAsia="Times New Roman" w:hAnsi="Times New Roman" w:cs="Times New Roman"/>
          <w:sz w:val="24"/>
          <w:szCs w:val="24"/>
          <w:lang w:eastAsia="en-AU"/>
        </w:rPr>
        <w:t>artsACT’s</w:t>
      </w:r>
      <w:proofErr w:type="spellEnd"/>
      <w:r w:rsidRPr="00EF22E7">
        <w:rPr>
          <w:rFonts w:ascii="Times New Roman" w:eastAsia="Times New Roman" w:hAnsi="Times New Roman" w:cs="Times New Roman"/>
          <w:sz w:val="24"/>
          <w:szCs w:val="24"/>
          <w:lang w:eastAsia="en-AU"/>
        </w:rPr>
        <w:t xml:space="preserve"> funds, are not generally shown. The details of </w:t>
      </w:r>
      <w:proofErr w:type="spellStart"/>
      <w:r w:rsidRPr="00EF22E7">
        <w:rPr>
          <w:rFonts w:ascii="Times New Roman" w:eastAsia="Times New Roman" w:hAnsi="Times New Roman" w:cs="Times New Roman"/>
          <w:sz w:val="24"/>
          <w:szCs w:val="24"/>
          <w:lang w:eastAsia="en-AU"/>
        </w:rPr>
        <w:t>artsACT’s</w:t>
      </w:r>
      <w:proofErr w:type="spellEnd"/>
      <w:r w:rsidRPr="00EF22E7">
        <w:rPr>
          <w:rFonts w:ascii="Times New Roman" w:eastAsia="Times New Roman" w:hAnsi="Times New Roman" w:cs="Times New Roman"/>
          <w:sz w:val="24"/>
          <w:szCs w:val="24"/>
          <w:lang w:eastAsia="en-AU"/>
        </w:rPr>
        <w:t xml:space="preserve"> expenditure is partially disclosed in advance from time to time within their communications about successful grantees, and fully disclosed only after the end of the financial year, within the </w:t>
      </w:r>
      <w:r w:rsidRPr="00EF22E7">
        <w:rPr>
          <w:rFonts w:ascii="Times New Roman" w:eastAsia="Times New Roman" w:hAnsi="Times New Roman" w:cs="Times New Roman"/>
          <w:b/>
          <w:bCs/>
          <w:sz w:val="24"/>
          <w:szCs w:val="24"/>
          <w:lang w:eastAsia="en-AU"/>
        </w:rPr>
        <w:t xml:space="preserve">Chief Minister, Treasury and Economic Development Directorate </w:t>
      </w:r>
      <w:hyperlink r:id="rId7" w:history="1">
        <w:r w:rsidRPr="00EF22E7">
          <w:rPr>
            <w:rFonts w:ascii="Times New Roman" w:eastAsia="Times New Roman" w:hAnsi="Times New Roman" w:cs="Times New Roman"/>
            <w:b/>
            <w:bCs/>
            <w:color w:val="0000FF"/>
            <w:sz w:val="24"/>
            <w:szCs w:val="24"/>
            <w:u w:val="single"/>
            <w:lang w:eastAsia="en-AU"/>
          </w:rPr>
          <w:t>(CMTEDD) Annual Report</w:t>
        </w:r>
      </w:hyperlink>
      <w:r w:rsidRPr="00EF22E7">
        <w:rPr>
          <w:rFonts w:ascii="Times New Roman" w:eastAsia="Times New Roman" w:hAnsi="Times New Roman" w:cs="Times New Roman"/>
          <w:sz w:val="24"/>
          <w:szCs w:val="24"/>
          <w:lang w:eastAsia="en-AU"/>
        </w:rPr>
        <w:t>.</w:t>
      </w:r>
    </w:p>
    <w:p w14:paraId="134A0F0A"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lastRenderedPageBreak/>
        <w:t> </w:t>
      </w:r>
    </w:p>
    <w:p w14:paraId="1B2FA1B1" w14:textId="77777777" w:rsidR="00EF22E7" w:rsidRPr="00EF22E7" w:rsidRDefault="00EF22E7" w:rsidP="00EF22E7">
      <w:pPr>
        <w:spacing w:before="100" w:beforeAutospacing="1" w:after="100" w:afterAutospacing="1" w:line="240" w:lineRule="auto"/>
        <w:outlineLvl w:val="2"/>
        <w:rPr>
          <w:rFonts w:ascii="Times New Roman" w:eastAsia="Times New Roman" w:hAnsi="Times New Roman" w:cs="Times New Roman"/>
          <w:b/>
          <w:bCs/>
          <w:sz w:val="27"/>
          <w:szCs w:val="27"/>
          <w:lang w:eastAsia="en-AU"/>
        </w:rPr>
      </w:pPr>
      <w:r w:rsidRPr="00EF22E7">
        <w:rPr>
          <w:rFonts w:ascii="Times New Roman" w:eastAsia="Times New Roman" w:hAnsi="Times New Roman" w:cs="Times New Roman"/>
          <w:b/>
          <w:bCs/>
          <w:sz w:val="27"/>
          <w:szCs w:val="27"/>
          <w:lang w:eastAsia="en-AU"/>
        </w:rPr>
        <w:t>The Budget Document</w:t>
      </w:r>
    </w:p>
    <w:p w14:paraId="0D5AB97A"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Each year the budget is comprised of three papers, and a set of Budget Statements. We’ll go through each section.</w:t>
      </w:r>
    </w:p>
    <w:p w14:paraId="6C8A3D4F"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However, Budget formats change from year to year and new elements may be added, so read tables of contents to see if any headings appear new and relevant, or look to the ACT Government </w:t>
      </w:r>
      <w:hyperlink r:id="rId8" w:history="1">
        <w:r w:rsidRPr="00EF22E7">
          <w:rPr>
            <w:rFonts w:ascii="Times New Roman" w:eastAsia="Times New Roman" w:hAnsi="Times New Roman" w:cs="Times New Roman"/>
            <w:color w:val="0000FF"/>
            <w:sz w:val="24"/>
            <w:szCs w:val="24"/>
            <w:u w:val="single"/>
            <w:lang w:eastAsia="en-AU"/>
          </w:rPr>
          <w:t>Budget Reading Guide</w:t>
        </w:r>
      </w:hyperlink>
      <w:r w:rsidRPr="00EF22E7">
        <w:rPr>
          <w:rFonts w:ascii="Times New Roman" w:eastAsia="Times New Roman" w:hAnsi="Times New Roman" w:cs="Times New Roman"/>
          <w:sz w:val="24"/>
          <w:szCs w:val="24"/>
          <w:lang w:eastAsia="en-AU"/>
        </w:rPr>
        <w:t xml:space="preserve"> for help.</w:t>
      </w:r>
    </w:p>
    <w:p w14:paraId="687E8CDC" w14:textId="37577D77" w:rsidR="00EF22E7" w:rsidRPr="00EF22E7" w:rsidRDefault="00EF22E7" w:rsidP="00EF22E7">
      <w:pPr>
        <w:spacing w:before="100" w:beforeAutospacing="1" w:after="100" w:afterAutospacing="1" w:line="240" w:lineRule="auto"/>
        <w:rPr>
          <w:rFonts w:ascii="Times New Roman" w:eastAsia="Times New Roman" w:hAnsi="Times New Roman" w:cs="Times New Roman"/>
          <w:b/>
          <w:bCs/>
          <w:sz w:val="27"/>
          <w:szCs w:val="27"/>
          <w:lang w:eastAsia="en-AU"/>
        </w:rPr>
      </w:pPr>
      <w:r w:rsidRPr="00EF22E7">
        <w:rPr>
          <w:rFonts w:ascii="Times New Roman" w:eastAsia="Times New Roman" w:hAnsi="Times New Roman" w:cs="Times New Roman"/>
          <w:b/>
          <w:bCs/>
          <w:sz w:val="24"/>
          <w:szCs w:val="24"/>
          <w:lang w:eastAsia="en-AU"/>
        </w:rPr>
        <w:t> </w:t>
      </w:r>
      <w:r w:rsidRPr="00EF22E7">
        <w:rPr>
          <w:rFonts w:ascii="Times New Roman" w:eastAsia="Times New Roman" w:hAnsi="Times New Roman" w:cs="Times New Roman"/>
          <w:b/>
          <w:bCs/>
          <w:sz w:val="27"/>
          <w:szCs w:val="27"/>
          <w:lang w:eastAsia="en-AU"/>
        </w:rPr>
        <w:t>The Budget Papers</w:t>
      </w:r>
    </w:p>
    <w:p w14:paraId="59EEC151" w14:textId="77777777" w:rsidR="00EF22E7" w:rsidRPr="00EF22E7" w:rsidRDefault="00EF22E7" w:rsidP="00EF22E7">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EF22E7">
        <w:rPr>
          <w:rFonts w:ascii="Times New Roman" w:eastAsia="Times New Roman" w:hAnsi="Times New Roman" w:cs="Times New Roman"/>
          <w:b/>
          <w:bCs/>
          <w:sz w:val="24"/>
          <w:szCs w:val="24"/>
          <w:lang w:eastAsia="en-AU"/>
        </w:rPr>
        <w:t>Budget Paper 1 – Budget Speech</w:t>
      </w:r>
    </w:p>
    <w:p w14:paraId="377B21C2"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The word from the Chief Minister, with key announcements and overall themes. We obviously hope to see major arts investments announced and celebrated as an important part of the ACT’s character and direction. This section provides context to any discussions about what is funded in a given year.</w:t>
      </w:r>
    </w:p>
    <w:p w14:paraId="09CAE772"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Read this first.</w:t>
      </w:r>
    </w:p>
    <w:p w14:paraId="37F53335" w14:textId="327521A9" w:rsidR="00EF22E7" w:rsidRPr="00EF22E7" w:rsidRDefault="00EF22E7" w:rsidP="00EF22E7">
      <w:pPr>
        <w:spacing w:before="100" w:beforeAutospacing="1" w:after="100" w:afterAutospacing="1" w:line="240" w:lineRule="auto"/>
        <w:rPr>
          <w:rFonts w:ascii="Times New Roman" w:eastAsia="Times New Roman" w:hAnsi="Times New Roman" w:cs="Times New Roman"/>
          <w:b/>
          <w:bCs/>
          <w:sz w:val="24"/>
          <w:szCs w:val="24"/>
          <w:lang w:eastAsia="en-AU"/>
        </w:rPr>
      </w:pPr>
      <w:r w:rsidRPr="00EF22E7">
        <w:rPr>
          <w:rFonts w:ascii="Times New Roman" w:eastAsia="Times New Roman" w:hAnsi="Times New Roman" w:cs="Times New Roman"/>
          <w:sz w:val="24"/>
          <w:szCs w:val="24"/>
          <w:lang w:eastAsia="en-AU"/>
        </w:rPr>
        <w:t> </w:t>
      </w:r>
      <w:r w:rsidRPr="00EF22E7">
        <w:rPr>
          <w:rFonts w:ascii="Times New Roman" w:eastAsia="Times New Roman" w:hAnsi="Times New Roman" w:cs="Times New Roman"/>
          <w:b/>
          <w:bCs/>
          <w:sz w:val="24"/>
          <w:szCs w:val="24"/>
          <w:lang w:eastAsia="en-AU"/>
        </w:rPr>
        <w:t>Budget Paper 2 – Budget in Brief</w:t>
      </w:r>
    </w:p>
    <w:p w14:paraId="54BA3D1D"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This paper is divided by type of service to the </w:t>
      </w:r>
      <w:proofErr w:type="gramStart"/>
      <w:r w:rsidRPr="00EF22E7">
        <w:rPr>
          <w:rFonts w:ascii="Times New Roman" w:eastAsia="Times New Roman" w:hAnsi="Times New Roman" w:cs="Times New Roman"/>
          <w:sz w:val="24"/>
          <w:szCs w:val="24"/>
          <w:lang w:eastAsia="en-AU"/>
        </w:rPr>
        <w:t>public, and</w:t>
      </w:r>
      <w:proofErr w:type="gramEnd"/>
      <w:r w:rsidRPr="00EF22E7">
        <w:rPr>
          <w:rFonts w:ascii="Times New Roman" w:eastAsia="Times New Roman" w:hAnsi="Times New Roman" w:cs="Times New Roman"/>
          <w:sz w:val="24"/>
          <w:szCs w:val="24"/>
          <w:lang w:eastAsia="en-AU"/>
        </w:rPr>
        <w:t xml:space="preserve"> can be short on detail especially on small initiatives. It never, ever talks about bad news.</w:t>
      </w:r>
    </w:p>
    <w:p w14:paraId="07C7589B"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Initiatives are grouped under press-friendly headers like “More and Better Jobs” or “Better Support when it Matters”. These titles can give an idea as to what the Government’s priority might be in approving that initiative, but they cut across all kinds of </w:t>
      </w:r>
      <w:proofErr w:type="gramStart"/>
      <w:r w:rsidRPr="00EF22E7">
        <w:rPr>
          <w:rFonts w:ascii="Times New Roman" w:eastAsia="Times New Roman" w:hAnsi="Times New Roman" w:cs="Times New Roman"/>
          <w:sz w:val="24"/>
          <w:szCs w:val="24"/>
          <w:lang w:eastAsia="en-AU"/>
        </w:rPr>
        <w:t>activity</w:t>
      </w:r>
      <w:proofErr w:type="gramEnd"/>
      <w:r w:rsidRPr="00EF22E7">
        <w:rPr>
          <w:rFonts w:ascii="Times New Roman" w:eastAsia="Times New Roman" w:hAnsi="Times New Roman" w:cs="Times New Roman"/>
          <w:sz w:val="24"/>
          <w:szCs w:val="24"/>
          <w:lang w:eastAsia="en-AU"/>
        </w:rPr>
        <w:t xml:space="preserve"> so any category may have arts implications.</w:t>
      </w:r>
    </w:p>
    <w:p w14:paraId="059EE856" w14:textId="192ADEDA"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sz w:val="24"/>
          <w:szCs w:val="24"/>
          <w:lang w:eastAsia="en-AU"/>
        </w:rPr>
        <w:drawing>
          <wp:inline distT="0" distB="0" distL="0" distR="0" wp14:anchorId="6E33B5A0" wp14:editId="7405AF81">
            <wp:extent cx="4953000" cy="2524125"/>
            <wp:effectExtent l="0" t="0" r="0" b="9525"/>
            <wp:docPr id="11" name="Picture 11" descr="http://www.childersgroup.com.au/wp-content/uploads/2018/05/01-300x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ldersgroup.com.au/wp-content/uploads/2018/05/01-300x1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2524125"/>
                    </a:xfrm>
                    <a:prstGeom prst="rect">
                      <a:avLst/>
                    </a:prstGeom>
                    <a:noFill/>
                    <a:ln>
                      <a:noFill/>
                    </a:ln>
                  </pic:spPr>
                </pic:pic>
              </a:graphicData>
            </a:graphic>
          </wp:inline>
        </w:drawing>
      </w:r>
    </w:p>
    <w:p w14:paraId="3C43DD4B"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lastRenderedPageBreak/>
        <w:t xml:space="preserve">It’s worth browsing each category to learn what the Government’s priorities are and what language they use to describe them. These categories appear in the next section as well. Key expenses are localised on the </w:t>
      </w:r>
      <w:r w:rsidRPr="00EF22E7">
        <w:rPr>
          <w:rFonts w:ascii="Times New Roman" w:eastAsia="Times New Roman" w:hAnsi="Times New Roman" w:cs="Times New Roman"/>
          <w:b/>
          <w:bCs/>
          <w:sz w:val="24"/>
          <w:szCs w:val="24"/>
          <w:lang w:eastAsia="en-AU"/>
        </w:rPr>
        <w:t>Town Centre Map</w:t>
      </w:r>
      <w:r w:rsidRPr="00EF22E7">
        <w:rPr>
          <w:rFonts w:ascii="Times New Roman" w:eastAsia="Times New Roman" w:hAnsi="Times New Roman" w:cs="Times New Roman"/>
          <w:sz w:val="24"/>
          <w:szCs w:val="24"/>
          <w:lang w:eastAsia="en-AU"/>
        </w:rPr>
        <w:t>.</w:t>
      </w:r>
    </w:p>
    <w:p w14:paraId="128D6CFA" w14:textId="5F334C91"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drawing>
          <wp:inline distT="0" distB="0" distL="0" distR="0" wp14:anchorId="50CBA380" wp14:editId="0D0A4CDC">
            <wp:extent cx="4953000" cy="2133600"/>
            <wp:effectExtent l="0" t="0" r="0" b="0"/>
            <wp:docPr id="10" name="Picture 10" descr="http://www.childersgroup.com.au/wp-content/uploads/2018/05/0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ldersgroup.com.au/wp-content/uploads/2018/05/02.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2133600"/>
                    </a:xfrm>
                    <a:prstGeom prst="rect">
                      <a:avLst/>
                    </a:prstGeom>
                    <a:noFill/>
                    <a:ln>
                      <a:noFill/>
                    </a:ln>
                  </pic:spPr>
                </pic:pic>
              </a:graphicData>
            </a:graphic>
          </wp:inline>
        </w:drawing>
      </w:r>
    </w:p>
    <w:p w14:paraId="569A676B" w14:textId="77777777" w:rsidR="00EF22E7" w:rsidRPr="00EF22E7" w:rsidRDefault="00EF22E7" w:rsidP="00EF22E7">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EF22E7">
        <w:rPr>
          <w:rFonts w:ascii="Times New Roman" w:eastAsia="Times New Roman" w:hAnsi="Times New Roman" w:cs="Times New Roman"/>
          <w:b/>
          <w:bCs/>
          <w:sz w:val="24"/>
          <w:szCs w:val="24"/>
          <w:lang w:eastAsia="en-AU"/>
        </w:rPr>
        <w:t> </w:t>
      </w:r>
    </w:p>
    <w:p w14:paraId="7C7E6157" w14:textId="77777777" w:rsidR="00EF22E7" w:rsidRPr="00EF22E7" w:rsidRDefault="00EF22E7" w:rsidP="00EF22E7">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EF22E7">
        <w:rPr>
          <w:rFonts w:ascii="Times New Roman" w:eastAsia="Times New Roman" w:hAnsi="Times New Roman" w:cs="Times New Roman"/>
          <w:b/>
          <w:bCs/>
          <w:sz w:val="24"/>
          <w:szCs w:val="24"/>
          <w:lang w:eastAsia="en-AU"/>
        </w:rPr>
        <w:t>Budget Paper 3 – Budget Outlook</w:t>
      </w:r>
    </w:p>
    <w:p w14:paraId="17692EE9"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The real budget. “Announcements” live in the New Initiatives chapter and if you want to skip to the good bits, head there straight away.</w:t>
      </w:r>
    </w:p>
    <w:p w14:paraId="39394E20"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Going chapter by chapter:</w:t>
      </w:r>
    </w:p>
    <w:p w14:paraId="66770547"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1. Economic Performance, Outlook &amp; Strategy</w:t>
      </w:r>
    </w:p>
    <w:p w14:paraId="7F1264F5"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High level analysis of major trends such as demographics, housing, employment. No arts </w:t>
      </w:r>
      <w:proofErr w:type="gramStart"/>
      <w:r w:rsidRPr="00EF22E7">
        <w:rPr>
          <w:rFonts w:ascii="Times New Roman" w:eastAsia="Times New Roman" w:hAnsi="Times New Roman" w:cs="Times New Roman"/>
          <w:sz w:val="24"/>
          <w:szCs w:val="24"/>
          <w:lang w:eastAsia="en-AU"/>
        </w:rPr>
        <w:t>details</w:t>
      </w:r>
      <w:proofErr w:type="gramEnd"/>
      <w:r w:rsidRPr="00EF22E7">
        <w:rPr>
          <w:rFonts w:ascii="Times New Roman" w:eastAsia="Times New Roman" w:hAnsi="Times New Roman" w:cs="Times New Roman"/>
          <w:sz w:val="24"/>
          <w:szCs w:val="24"/>
          <w:lang w:eastAsia="en-AU"/>
        </w:rPr>
        <w:t>.</w:t>
      </w:r>
    </w:p>
    <w:p w14:paraId="7FB807FB"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2. Fiscal Strategy</w:t>
      </w:r>
    </w:p>
    <w:p w14:paraId="5217277C"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The guiding principles and influences the Government has applied in making its decisions, eventually expressed as a summary of the cost of living for various hypothetical Canberrans. No arts </w:t>
      </w:r>
      <w:proofErr w:type="gramStart"/>
      <w:r w:rsidRPr="00EF22E7">
        <w:rPr>
          <w:rFonts w:ascii="Times New Roman" w:eastAsia="Times New Roman" w:hAnsi="Times New Roman" w:cs="Times New Roman"/>
          <w:sz w:val="24"/>
          <w:szCs w:val="24"/>
          <w:lang w:eastAsia="en-AU"/>
        </w:rPr>
        <w:t>details</w:t>
      </w:r>
      <w:proofErr w:type="gramEnd"/>
      <w:r w:rsidRPr="00EF22E7">
        <w:rPr>
          <w:rFonts w:ascii="Times New Roman" w:eastAsia="Times New Roman" w:hAnsi="Times New Roman" w:cs="Times New Roman"/>
          <w:sz w:val="24"/>
          <w:szCs w:val="24"/>
          <w:lang w:eastAsia="en-AU"/>
        </w:rPr>
        <w:t>.</w:t>
      </w:r>
    </w:p>
    <w:p w14:paraId="5D52B143" w14:textId="592CAF03"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 xml:space="preserve">3. New </w:t>
      </w:r>
      <w:r>
        <w:rPr>
          <w:rFonts w:ascii="Times New Roman" w:eastAsia="Times New Roman" w:hAnsi="Times New Roman" w:cs="Times New Roman"/>
          <w:b/>
          <w:bCs/>
          <w:sz w:val="24"/>
          <w:szCs w:val="24"/>
          <w:lang w:eastAsia="en-AU"/>
        </w:rPr>
        <w:t>I</w:t>
      </w:r>
      <w:r w:rsidRPr="00EF22E7">
        <w:rPr>
          <w:rFonts w:ascii="Times New Roman" w:eastAsia="Times New Roman" w:hAnsi="Times New Roman" w:cs="Times New Roman"/>
          <w:b/>
          <w:bCs/>
          <w:sz w:val="24"/>
          <w:szCs w:val="24"/>
          <w:lang w:eastAsia="en-AU"/>
        </w:rPr>
        <w:t>nitiatives</w:t>
      </w:r>
    </w:p>
    <w:p w14:paraId="486742C9"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Here’s the main event. Head straight to the </w:t>
      </w:r>
      <w:r w:rsidRPr="00EF22E7">
        <w:rPr>
          <w:rFonts w:ascii="Times New Roman" w:eastAsia="Times New Roman" w:hAnsi="Times New Roman" w:cs="Times New Roman"/>
          <w:b/>
          <w:bCs/>
          <w:sz w:val="24"/>
          <w:szCs w:val="24"/>
          <w:lang w:eastAsia="en-AU"/>
        </w:rPr>
        <w:t>Summary of expenses by portfolio (Previously at Table 3.2.2)</w:t>
      </w:r>
    </w:p>
    <w:p w14:paraId="3C7A04FE"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This summarises all “Initiatives” – new activity spending introduced to this year’s Budget, projected over the coming four years.</w:t>
      </w:r>
    </w:p>
    <w:p w14:paraId="301E544C"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Most arts initiatives will be included in the CMTEDD section, as well as under Cultural Facilities Corporation. Other arts opportunities could be elsewhere if they are delivered by other directorates – for instance, arts and health could be a Health initiative. Titles here are brief. This is all the new money. Negatives are either cuts or savings.</w:t>
      </w:r>
    </w:p>
    <w:p w14:paraId="1694C127" w14:textId="304AD20D"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lastRenderedPageBreak/>
        <w:drawing>
          <wp:inline distT="0" distB="0" distL="0" distR="0" wp14:anchorId="2F4C4064" wp14:editId="0857EDCF">
            <wp:extent cx="4953000" cy="2695575"/>
            <wp:effectExtent l="0" t="0" r="0" b="9525"/>
            <wp:docPr id="9" name="Picture 9" descr="http://www.childersgroup.com.au/wp-content/uploads/2018/05/0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ildersgroup.com.au/wp-content/uploads/2018/05/03.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2695575"/>
                    </a:xfrm>
                    <a:prstGeom prst="rect">
                      <a:avLst/>
                    </a:prstGeom>
                    <a:noFill/>
                    <a:ln>
                      <a:noFill/>
                    </a:ln>
                  </pic:spPr>
                </pic:pic>
              </a:graphicData>
            </a:graphic>
          </wp:inline>
        </w:drawing>
      </w:r>
    </w:p>
    <w:p w14:paraId="63C2AAF7"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Each line has a corresponding detail breakdown entry in the following pages which explains what the initiative is in a sentence or two. This is what the funding will be used for.</w:t>
      </w:r>
    </w:p>
    <w:p w14:paraId="3E25AF9B" w14:textId="0DBA3A4D"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drawing>
          <wp:inline distT="0" distB="0" distL="0" distR="0" wp14:anchorId="1B4EFC78" wp14:editId="0B6DC8BA">
            <wp:extent cx="4953000" cy="1609725"/>
            <wp:effectExtent l="0" t="0" r="0" b="9525"/>
            <wp:docPr id="8" name="Picture 8" descr="http://www.childersgroup.com.au/wp-content/uploads/2018/05/04.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ldersgroup.com.au/wp-content/uploads/2018/05/04.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1609725"/>
                    </a:xfrm>
                    <a:prstGeom prst="rect">
                      <a:avLst/>
                    </a:prstGeom>
                    <a:noFill/>
                    <a:ln>
                      <a:noFill/>
                    </a:ln>
                  </pic:spPr>
                </pic:pic>
              </a:graphicData>
            </a:graphic>
          </wp:inline>
        </w:drawing>
      </w:r>
    </w:p>
    <w:p w14:paraId="46CE9A09"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Next </w:t>
      </w:r>
      <w:proofErr w:type="gramStart"/>
      <w:r w:rsidRPr="00EF22E7">
        <w:rPr>
          <w:rFonts w:ascii="Times New Roman" w:eastAsia="Times New Roman" w:hAnsi="Times New Roman" w:cs="Times New Roman"/>
          <w:sz w:val="24"/>
          <w:szCs w:val="24"/>
          <w:lang w:eastAsia="en-AU"/>
        </w:rPr>
        <w:t>take a look</w:t>
      </w:r>
      <w:proofErr w:type="gramEnd"/>
      <w:r w:rsidRPr="00EF22E7">
        <w:rPr>
          <w:rFonts w:ascii="Times New Roman" w:eastAsia="Times New Roman" w:hAnsi="Times New Roman" w:cs="Times New Roman"/>
          <w:sz w:val="24"/>
          <w:szCs w:val="24"/>
          <w:lang w:eastAsia="en-AU"/>
        </w:rPr>
        <w:t xml:space="preserve"> at</w:t>
      </w:r>
      <w:r w:rsidRPr="00EF22E7">
        <w:rPr>
          <w:rFonts w:ascii="Times New Roman" w:eastAsia="Times New Roman" w:hAnsi="Times New Roman" w:cs="Times New Roman"/>
          <w:b/>
          <w:bCs/>
          <w:sz w:val="24"/>
          <w:szCs w:val="24"/>
          <w:lang w:eastAsia="en-AU"/>
        </w:rPr>
        <w:t xml:space="preserve"> Infrastructure and capital initiatives (Previously at Table 3.3.2)</w:t>
      </w:r>
    </w:p>
    <w:p w14:paraId="7EF8251B"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Here is the summary of new infrastructure and capital initiatives for this year’s budget. As above it shows a </w:t>
      </w:r>
      <w:proofErr w:type="gramStart"/>
      <w:r w:rsidRPr="00EF22E7">
        <w:rPr>
          <w:rFonts w:ascii="Times New Roman" w:eastAsia="Times New Roman" w:hAnsi="Times New Roman" w:cs="Times New Roman"/>
          <w:sz w:val="24"/>
          <w:szCs w:val="24"/>
          <w:lang w:eastAsia="en-AU"/>
        </w:rPr>
        <w:t>four year</w:t>
      </w:r>
      <w:proofErr w:type="gramEnd"/>
      <w:r w:rsidRPr="00EF22E7">
        <w:rPr>
          <w:rFonts w:ascii="Times New Roman" w:eastAsia="Times New Roman" w:hAnsi="Times New Roman" w:cs="Times New Roman"/>
          <w:sz w:val="24"/>
          <w:szCs w:val="24"/>
          <w:lang w:eastAsia="en-AU"/>
        </w:rPr>
        <w:t xml:space="preserve"> projection, which can help to understand when a project is expected to be finished.</w:t>
      </w:r>
    </w:p>
    <w:p w14:paraId="10B474D9" w14:textId="42E661BD"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drawing>
          <wp:inline distT="0" distB="0" distL="0" distR="0" wp14:anchorId="40384DA7" wp14:editId="515EF4E9">
            <wp:extent cx="4953000" cy="2000250"/>
            <wp:effectExtent l="0" t="0" r="0" b="0"/>
            <wp:docPr id="7" name="Picture 7" descr="http://www.childersgroup.com.au/wp-content/uploads/2018/05/05.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ldersgroup.com.au/wp-content/uploads/2018/05/05.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2000250"/>
                    </a:xfrm>
                    <a:prstGeom prst="rect">
                      <a:avLst/>
                    </a:prstGeom>
                    <a:noFill/>
                    <a:ln>
                      <a:noFill/>
                    </a:ln>
                  </pic:spPr>
                </pic:pic>
              </a:graphicData>
            </a:graphic>
          </wp:inline>
        </w:drawing>
      </w:r>
    </w:p>
    <w:p w14:paraId="75F35C01"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Once again, each item has an entry in the following pages with a sentence or two, which goes into more detail about when the capital is being invested, when depreciation commences, and </w:t>
      </w:r>
      <w:r w:rsidRPr="00EF22E7">
        <w:rPr>
          <w:rFonts w:ascii="Times New Roman" w:eastAsia="Times New Roman" w:hAnsi="Times New Roman" w:cs="Times New Roman"/>
          <w:sz w:val="24"/>
          <w:szCs w:val="24"/>
          <w:lang w:eastAsia="en-AU"/>
        </w:rPr>
        <w:lastRenderedPageBreak/>
        <w:t xml:space="preserve">any offsets (say, no longer having to hire the equipment, more efficient running costs, or if funded through the </w:t>
      </w:r>
      <w:r w:rsidRPr="00EF22E7">
        <w:rPr>
          <w:rFonts w:ascii="Times New Roman" w:eastAsia="Times New Roman" w:hAnsi="Times New Roman" w:cs="Times New Roman"/>
          <w:i/>
          <w:iCs/>
          <w:sz w:val="24"/>
          <w:szCs w:val="24"/>
          <w:lang w:eastAsia="en-AU"/>
        </w:rPr>
        <w:t>Better Infrastructure Fund</w:t>
      </w:r>
      <w:r w:rsidRPr="00EF22E7">
        <w:rPr>
          <w:rFonts w:ascii="Times New Roman" w:eastAsia="Times New Roman" w:hAnsi="Times New Roman" w:cs="Times New Roman"/>
          <w:sz w:val="24"/>
          <w:szCs w:val="24"/>
          <w:lang w:eastAsia="en-AU"/>
        </w:rPr>
        <w:t xml:space="preserve"> for new improvements to existing infrastructure).</w:t>
      </w:r>
    </w:p>
    <w:p w14:paraId="141D94E4" w14:textId="020FDD74"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drawing>
          <wp:inline distT="0" distB="0" distL="0" distR="0" wp14:anchorId="4B07D323" wp14:editId="1E4CC435">
            <wp:extent cx="4953000" cy="1609725"/>
            <wp:effectExtent l="0" t="0" r="0" b="9525"/>
            <wp:docPr id="6" name="Picture 6" descr="http://www.childersgroup.com.au/wp-content/uploads/2018/05/07.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ldersgroup.com.au/wp-content/uploads/2018/05/07.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1609725"/>
                    </a:xfrm>
                    <a:prstGeom prst="rect">
                      <a:avLst/>
                    </a:prstGeom>
                    <a:noFill/>
                    <a:ln>
                      <a:noFill/>
                    </a:ln>
                  </pic:spPr>
                </pic:pic>
              </a:graphicData>
            </a:graphic>
          </wp:inline>
        </w:drawing>
      </w:r>
    </w:p>
    <w:p w14:paraId="4DE5B27D"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4. Expenses</w:t>
      </w:r>
    </w:p>
    <w:p w14:paraId="7FFD4012"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A </w:t>
      </w:r>
      <w:proofErr w:type="gramStart"/>
      <w:r w:rsidRPr="00EF22E7">
        <w:rPr>
          <w:rFonts w:ascii="Times New Roman" w:eastAsia="Times New Roman" w:hAnsi="Times New Roman" w:cs="Times New Roman"/>
          <w:sz w:val="24"/>
          <w:szCs w:val="24"/>
          <w:lang w:eastAsia="en-AU"/>
        </w:rPr>
        <w:t>high level</w:t>
      </w:r>
      <w:proofErr w:type="gramEnd"/>
      <w:r w:rsidRPr="00EF22E7">
        <w:rPr>
          <w:rFonts w:ascii="Times New Roman" w:eastAsia="Times New Roman" w:hAnsi="Times New Roman" w:cs="Times New Roman"/>
          <w:sz w:val="24"/>
          <w:szCs w:val="24"/>
          <w:lang w:eastAsia="en-AU"/>
        </w:rPr>
        <w:t xml:space="preserve"> overview of major influences on expenses. The closest thing we have here is “Recreation and culture” which is not detailed enough to learn much from. That said, we probably don’t want to see any arts activity mentioned under “Savings”.</w:t>
      </w:r>
    </w:p>
    <w:p w14:paraId="318FEA80"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5. Capital Works</w:t>
      </w:r>
    </w:p>
    <w:p w14:paraId="792402FE"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This section has a summary of new capital works - building projects - which might include arts facilities, but is not an exhaustive list, unlike the initiatives section. Works in progress also appear here in summary, but for full detail see the </w:t>
      </w:r>
      <w:r w:rsidRPr="00EF22E7">
        <w:rPr>
          <w:rFonts w:ascii="Times New Roman" w:eastAsia="Times New Roman" w:hAnsi="Times New Roman" w:cs="Times New Roman"/>
          <w:b/>
          <w:bCs/>
          <w:sz w:val="24"/>
          <w:szCs w:val="24"/>
          <w:lang w:eastAsia="en-AU"/>
        </w:rPr>
        <w:t>Appendix – Capital Works – Works-In-Progress</w:t>
      </w:r>
      <w:r w:rsidRPr="00EF22E7">
        <w:rPr>
          <w:rFonts w:ascii="Times New Roman" w:eastAsia="Times New Roman" w:hAnsi="Times New Roman" w:cs="Times New Roman"/>
          <w:sz w:val="24"/>
          <w:szCs w:val="24"/>
          <w:lang w:eastAsia="en-AU"/>
        </w:rPr>
        <w:t>.</w:t>
      </w:r>
    </w:p>
    <w:p w14:paraId="7593C9F3"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6. Revenue</w:t>
      </w:r>
    </w:p>
    <w:p w14:paraId="41B75CE6"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Levies, taxes and service charges. No arts </w:t>
      </w:r>
      <w:proofErr w:type="gramStart"/>
      <w:r w:rsidRPr="00EF22E7">
        <w:rPr>
          <w:rFonts w:ascii="Times New Roman" w:eastAsia="Times New Roman" w:hAnsi="Times New Roman" w:cs="Times New Roman"/>
          <w:sz w:val="24"/>
          <w:szCs w:val="24"/>
          <w:lang w:eastAsia="en-AU"/>
        </w:rPr>
        <w:t>details</w:t>
      </w:r>
      <w:proofErr w:type="gramEnd"/>
      <w:r w:rsidRPr="00EF22E7">
        <w:rPr>
          <w:rFonts w:ascii="Times New Roman" w:eastAsia="Times New Roman" w:hAnsi="Times New Roman" w:cs="Times New Roman"/>
          <w:sz w:val="24"/>
          <w:szCs w:val="24"/>
          <w:lang w:eastAsia="en-AU"/>
        </w:rPr>
        <w:t>.</w:t>
      </w:r>
    </w:p>
    <w:p w14:paraId="3273B381"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7. Federal Financial Relations</w:t>
      </w:r>
    </w:p>
    <w:p w14:paraId="1BBA2E70"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National Partnership Payments are Federal Government programs delivered via the ACT Government. At least recently, no arts details, but details of Federal arts projects could conceivably show up here.</w:t>
      </w:r>
    </w:p>
    <w:p w14:paraId="5094389B"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8. Asset and Liability Management</w:t>
      </w:r>
    </w:p>
    <w:p w14:paraId="614C7BCE"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The Government’s assessment of the value of its assets and liabilities at a high level including things like Territory debt, investments, loans and superannuation. No arts </w:t>
      </w:r>
      <w:proofErr w:type="gramStart"/>
      <w:r w:rsidRPr="00EF22E7">
        <w:rPr>
          <w:rFonts w:ascii="Times New Roman" w:eastAsia="Times New Roman" w:hAnsi="Times New Roman" w:cs="Times New Roman"/>
          <w:sz w:val="24"/>
          <w:szCs w:val="24"/>
          <w:lang w:eastAsia="en-AU"/>
        </w:rPr>
        <w:t>items</w:t>
      </w:r>
      <w:proofErr w:type="gramEnd"/>
      <w:r w:rsidRPr="00EF22E7">
        <w:rPr>
          <w:rFonts w:ascii="Times New Roman" w:eastAsia="Times New Roman" w:hAnsi="Times New Roman" w:cs="Times New Roman"/>
          <w:sz w:val="24"/>
          <w:szCs w:val="24"/>
          <w:lang w:eastAsia="en-AU"/>
        </w:rPr>
        <w:t>.</w:t>
      </w:r>
    </w:p>
    <w:p w14:paraId="4E368472"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9. GGS Harmonised Financial Statements</w:t>
      </w:r>
    </w:p>
    <w:p w14:paraId="1C83F7DC"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The ACT’s formal, standardised financial statements. Table 9.10 includes a breakdown of General Government Sector expenses by function, one of which is “Cultural Facilities and Services”, which may be worth comparing to previous year’s estimates for big shifts. “</w:t>
      </w:r>
      <w:proofErr w:type="spellStart"/>
      <w:r w:rsidRPr="00EF22E7">
        <w:rPr>
          <w:rFonts w:ascii="Times New Roman" w:eastAsia="Times New Roman" w:hAnsi="Times New Roman" w:cs="Times New Roman"/>
          <w:sz w:val="24"/>
          <w:szCs w:val="24"/>
          <w:lang w:eastAsia="en-AU"/>
        </w:rPr>
        <w:t>n.e.c</w:t>
      </w:r>
      <w:proofErr w:type="spellEnd"/>
      <w:r w:rsidRPr="00EF22E7">
        <w:rPr>
          <w:rFonts w:ascii="Times New Roman" w:eastAsia="Times New Roman" w:hAnsi="Times New Roman" w:cs="Times New Roman"/>
          <w:sz w:val="24"/>
          <w:szCs w:val="24"/>
          <w:lang w:eastAsia="en-AU"/>
        </w:rPr>
        <w:t>” means “not elsewhere classified”.</w:t>
      </w:r>
    </w:p>
    <w:p w14:paraId="0DC882B9" w14:textId="37BCEA05"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lastRenderedPageBreak/>
        <w:drawing>
          <wp:inline distT="0" distB="0" distL="0" distR="0" wp14:anchorId="063BCCE5" wp14:editId="669D3310">
            <wp:extent cx="4953000" cy="1771650"/>
            <wp:effectExtent l="0" t="0" r="0" b="0"/>
            <wp:docPr id="5" name="Picture 5" descr="http://www.childersgroup.com.au/wp-content/uploads/2018/05/08.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ldersgroup.com.au/wp-content/uploads/2018/05/08.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1771650"/>
                    </a:xfrm>
                    <a:prstGeom prst="rect">
                      <a:avLst/>
                    </a:prstGeom>
                    <a:noFill/>
                    <a:ln>
                      <a:noFill/>
                    </a:ln>
                  </pic:spPr>
                </pic:pic>
              </a:graphicData>
            </a:graphic>
          </wp:inline>
        </w:drawing>
      </w:r>
    </w:p>
    <w:p w14:paraId="604BB7D7"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10. Appendices</w:t>
      </w:r>
    </w:p>
    <w:p w14:paraId="53D89BA1"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Further background information, some of which can be important.</w:t>
      </w:r>
    </w:p>
    <w:p w14:paraId="37D7583D"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 xml:space="preserve">Capital Works – Works </w:t>
      </w:r>
      <w:proofErr w:type="gramStart"/>
      <w:r w:rsidRPr="00EF22E7">
        <w:rPr>
          <w:rFonts w:ascii="Times New Roman" w:eastAsia="Times New Roman" w:hAnsi="Times New Roman" w:cs="Times New Roman"/>
          <w:b/>
          <w:bCs/>
          <w:sz w:val="24"/>
          <w:szCs w:val="24"/>
          <w:lang w:eastAsia="en-AU"/>
        </w:rPr>
        <w:t>In</w:t>
      </w:r>
      <w:proofErr w:type="gramEnd"/>
      <w:r w:rsidRPr="00EF22E7">
        <w:rPr>
          <w:rFonts w:ascii="Times New Roman" w:eastAsia="Times New Roman" w:hAnsi="Times New Roman" w:cs="Times New Roman"/>
          <w:b/>
          <w:bCs/>
          <w:sz w:val="24"/>
          <w:szCs w:val="24"/>
          <w:lang w:eastAsia="en-AU"/>
        </w:rPr>
        <w:t xml:space="preserve"> Progress </w:t>
      </w:r>
      <w:r w:rsidRPr="00EF22E7">
        <w:rPr>
          <w:rFonts w:ascii="Times New Roman" w:eastAsia="Times New Roman" w:hAnsi="Times New Roman" w:cs="Times New Roman"/>
          <w:sz w:val="24"/>
          <w:szCs w:val="24"/>
          <w:lang w:eastAsia="en-AU"/>
        </w:rPr>
        <w:t>shows ongoing projects, which may have changed in scope. Current end dates are shown, which can be relevant to know when arts infrastructure is coming online.</w:t>
      </w:r>
    </w:p>
    <w:p w14:paraId="5B60F373" w14:textId="7892301F"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drawing>
          <wp:inline distT="0" distB="0" distL="0" distR="0" wp14:anchorId="3F30253D" wp14:editId="7A17A7ED">
            <wp:extent cx="4953000" cy="1781175"/>
            <wp:effectExtent l="0" t="0" r="0" b="9525"/>
            <wp:docPr id="4" name="Picture 4" descr="http://www.childersgroup.com.au/wp-content/uploads/2018/05/09.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ildersgroup.com.au/wp-content/uploads/2018/05/09.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1781175"/>
                    </a:xfrm>
                    <a:prstGeom prst="rect">
                      <a:avLst/>
                    </a:prstGeom>
                    <a:noFill/>
                    <a:ln>
                      <a:noFill/>
                    </a:ln>
                  </pic:spPr>
                </pic:pic>
              </a:graphicData>
            </a:graphic>
          </wp:inline>
        </w:drawing>
      </w:r>
    </w:p>
    <w:p w14:paraId="31687412"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Details about changed budgets for capital projects – up, down, sooner or later - are now only found in the separate </w:t>
      </w:r>
      <w:r w:rsidRPr="00EF22E7">
        <w:rPr>
          <w:rFonts w:ascii="Times New Roman" w:eastAsia="Times New Roman" w:hAnsi="Times New Roman" w:cs="Times New Roman"/>
          <w:b/>
          <w:bCs/>
          <w:sz w:val="24"/>
          <w:szCs w:val="24"/>
          <w:lang w:eastAsia="en-AU"/>
        </w:rPr>
        <w:t>Budget Statements A-H</w:t>
      </w:r>
      <w:r w:rsidRPr="00EF22E7">
        <w:rPr>
          <w:rFonts w:ascii="Times New Roman" w:eastAsia="Times New Roman" w:hAnsi="Times New Roman" w:cs="Times New Roman"/>
          <w:sz w:val="24"/>
          <w:szCs w:val="24"/>
          <w:lang w:eastAsia="en-AU"/>
        </w:rPr>
        <w:t xml:space="preserve"> so look there for more details.</w:t>
      </w:r>
    </w:p>
    <w:p w14:paraId="0F39A298"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w:t>
      </w:r>
    </w:p>
    <w:p w14:paraId="311F62B5" w14:textId="77777777" w:rsidR="00EF22E7" w:rsidRPr="00EF22E7" w:rsidRDefault="00EF22E7" w:rsidP="00EF22E7">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EF22E7">
        <w:rPr>
          <w:rFonts w:ascii="Times New Roman" w:eastAsia="Times New Roman" w:hAnsi="Times New Roman" w:cs="Times New Roman"/>
          <w:b/>
          <w:bCs/>
          <w:sz w:val="24"/>
          <w:szCs w:val="24"/>
          <w:lang w:eastAsia="en-AU"/>
        </w:rPr>
        <w:t>Budget Statements A-H</w:t>
      </w:r>
    </w:p>
    <w:p w14:paraId="1C1A8A28"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These are a detailed breakdown of the budget, sorted by Directorate.</w:t>
      </w:r>
    </w:p>
    <w:p w14:paraId="4132D030"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The most relevant of these is</w:t>
      </w:r>
      <w:r w:rsidRPr="00EF22E7">
        <w:rPr>
          <w:rFonts w:ascii="Times New Roman" w:eastAsia="Times New Roman" w:hAnsi="Times New Roman" w:cs="Times New Roman"/>
          <w:b/>
          <w:bCs/>
          <w:sz w:val="24"/>
          <w:szCs w:val="24"/>
          <w:lang w:eastAsia="en-AU"/>
        </w:rPr>
        <w:t xml:space="preserve"> Budget Statement B –CMTEDD</w:t>
      </w:r>
      <w:r w:rsidRPr="00EF22E7">
        <w:rPr>
          <w:rFonts w:ascii="Times New Roman" w:eastAsia="Times New Roman" w:hAnsi="Times New Roman" w:cs="Times New Roman"/>
          <w:sz w:val="24"/>
          <w:szCs w:val="24"/>
          <w:lang w:eastAsia="en-AU"/>
        </w:rPr>
        <w:t>.</w:t>
      </w:r>
    </w:p>
    <w:p w14:paraId="556988FE"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proofErr w:type="spellStart"/>
      <w:r w:rsidRPr="00EF22E7">
        <w:rPr>
          <w:rFonts w:ascii="Times New Roman" w:eastAsia="Times New Roman" w:hAnsi="Times New Roman" w:cs="Times New Roman"/>
          <w:sz w:val="24"/>
          <w:szCs w:val="24"/>
          <w:lang w:eastAsia="en-AU"/>
        </w:rPr>
        <w:t>ArtsACT</w:t>
      </w:r>
      <w:proofErr w:type="spellEnd"/>
      <w:r w:rsidRPr="00EF22E7">
        <w:rPr>
          <w:rFonts w:ascii="Times New Roman" w:eastAsia="Times New Roman" w:hAnsi="Times New Roman" w:cs="Times New Roman"/>
          <w:sz w:val="24"/>
          <w:szCs w:val="24"/>
          <w:lang w:eastAsia="en-AU"/>
        </w:rPr>
        <w:t xml:space="preserve">/Events ACT funding is included under the </w:t>
      </w:r>
      <w:r w:rsidRPr="00EF22E7">
        <w:rPr>
          <w:rFonts w:ascii="Times New Roman" w:eastAsia="Times New Roman" w:hAnsi="Times New Roman" w:cs="Times New Roman"/>
          <w:b/>
          <w:bCs/>
          <w:sz w:val="24"/>
          <w:szCs w:val="24"/>
          <w:lang w:eastAsia="en-AU"/>
        </w:rPr>
        <w:t>CMTEDD</w:t>
      </w:r>
      <w:r w:rsidRPr="00EF22E7">
        <w:rPr>
          <w:rFonts w:ascii="Times New Roman" w:eastAsia="Times New Roman" w:hAnsi="Times New Roman" w:cs="Times New Roman"/>
          <w:sz w:val="24"/>
          <w:szCs w:val="24"/>
          <w:lang w:eastAsia="en-AU"/>
        </w:rPr>
        <w:t xml:space="preserve"> section, and the </w:t>
      </w:r>
      <w:r w:rsidRPr="00EF22E7">
        <w:rPr>
          <w:rFonts w:ascii="Times New Roman" w:eastAsia="Times New Roman" w:hAnsi="Times New Roman" w:cs="Times New Roman"/>
          <w:b/>
          <w:bCs/>
          <w:sz w:val="24"/>
          <w:szCs w:val="24"/>
          <w:lang w:eastAsia="en-AU"/>
        </w:rPr>
        <w:t>Cultural Facilities Corporation</w:t>
      </w:r>
      <w:r w:rsidRPr="00EF22E7">
        <w:rPr>
          <w:rFonts w:ascii="Times New Roman" w:eastAsia="Times New Roman" w:hAnsi="Times New Roman" w:cs="Times New Roman"/>
          <w:sz w:val="24"/>
          <w:szCs w:val="24"/>
          <w:lang w:eastAsia="en-AU"/>
        </w:rPr>
        <w:t xml:space="preserve"> has its own section.</w:t>
      </w:r>
    </w:p>
    <w:p w14:paraId="4CB96405"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This document summarises priorities and may give some background to items included within the Budget Outlook.</w:t>
      </w:r>
    </w:p>
    <w:p w14:paraId="7F3EF54B"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It also has the closest thing to an annual ACT “arts budget”.</w:t>
      </w:r>
    </w:p>
    <w:p w14:paraId="2D554A83"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lastRenderedPageBreak/>
        <w:t xml:space="preserve">It shows the targets and KPIs that the Government has set for its arts program outputs. In 2017-18 these were </w:t>
      </w:r>
      <w:r w:rsidRPr="00EF22E7">
        <w:rPr>
          <w:rFonts w:ascii="Times New Roman" w:eastAsia="Times New Roman" w:hAnsi="Times New Roman" w:cs="Times New Roman"/>
          <w:b/>
          <w:bCs/>
          <w:sz w:val="24"/>
          <w:szCs w:val="24"/>
          <w:lang w:eastAsia="en-AU"/>
        </w:rPr>
        <w:t>Output 3.5: “Arts Engagement”</w:t>
      </w:r>
      <w:r w:rsidRPr="00EF22E7">
        <w:rPr>
          <w:rFonts w:ascii="Times New Roman" w:eastAsia="Times New Roman" w:hAnsi="Times New Roman" w:cs="Times New Roman"/>
          <w:sz w:val="24"/>
          <w:szCs w:val="24"/>
          <w:lang w:eastAsia="en-AU"/>
        </w:rPr>
        <w:t xml:space="preserve"> and include total cost of Arts Engagement. Comparing to previous years is a reasonable gauge of increases or decreases to arts funding. </w:t>
      </w:r>
      <w:r w:rsidRPr="00EF22E7">
        <w:rPr>
          <w:rFonts w:ascii="Times New Roman" w:eastAsia="Times New Roman" w:hAnsi="Times New Roman" w:cs="Times New Roman"/>
          <w:b/>
          <w:bCs/>
          <w:sz w:val="24"/>
          <w:szCs w:val="24"/>
          <w:lang w:eastAsia="en-AU"/>
        </w:rPr>
        <w:t>Output 3.4: “Events”</w:t>
      </w:r>
      <w:r w:rsidRPr="00EF22E7">
        <w:rPr>
          <w:rFonts w:ascii="Times New Roman" w:eastAsia="Times New Roman" w:hAnsi="Times New Roman" w:cs="Times New Roman"/>
          <w:sz w:val="24"/>
          <w:szCs w:val="24"/>
          <w:lang w:eastAsia="en-AU"/>
        </w:rPr>
        <w:t xml:space="preserve"> may also be useful to compare between years.</w:t>
      </w:r>
    </w:p>
    <w:p w14:paraId="3C185EA1" w14:textId="56B4045F"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drawing>
          <wp:inline distT="0" distB="0" distL="0" distR="0" wp14:anchorId="351169E8" wp14:editId="2BCC465C">
            <wp:extent cx="4953000" cy="2047875"/>
            <wp:effectExtent l="0" t="0" r="0" b="9525"/>
            <wp:docPr id="3" name="Picture 3" descr="http://www.childersgroup.com.au/wp-content/uploads/2018/05/10.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ldersgroup.com.au/wp-content/uploads/2018/05/10.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0" cy="2047875"/>
                    </a:xfrm>
                    <a:prstGeom prst="rect">
                      <a:avLst/>
                    </a:prstGeom>
                    <a:noFill/>
                    <a:ln>
                      <a:noFill/>
                    </a:ln>
                  </pic:spPr>
                </pic:pic>
              </a:graphicData>
            </a:graphic>
          </wp:inline>
        </w:drawing>
      </w:r>
    </w:p>
    <w:p w14:paraId="0DF31491"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w:t>
      </w:r>
      <w:r w:rsidRPr="00EF22E7">
        <w:rPr>
          <w:rFonts w:ascii="Times New Roman" w:eastAsia="Times New Roman" w:hAnsi="Times New Roman" w:cs="Times New Roman"/>
          <w:sz w:val="24"/>
          <w:szCs w:val="24"/>
          <w:lang w:eastAsia="en-AU"/>
        </w:rPr>
        <w:t xml:space="preserve">Controlled Recurrent Payments” in these sections means the amount that Territory Entities (in this case </w:t>
      </w:r>
      <w:proofErr w:type="spellStart"/>
      <w:r w:rsidRPr="00EF22E7">
        <w:rPr>
          <w:rFonts w:ascii="Times New Roman" w:eastAsia="Times New Roman" w:hAnsi="Times New Roman" w:cs="Times New Roman"/>
          <w:sz w:val="24"/>
          <w:szCs w:val="24"/>
          <w:lang w:eastAsia="en-AU"/>
        </w:rPr>
        <w:t>artsACT</w:t>
      </w:r>
      <w:proofErr w:type="spellEnd"/>
      <w:r w:rsidRPr="00EF22E7">
        <w:rPr>
          <w:rFonts w:ascii="Times New Roman" w:eastAsia="Times New Roman" w:hAnsi="Times New Roman" w:cs="Times New Roman"/>
          <w:sz w:val="24"/>
          <w:szCs w:val="24"/>
          <w:lang w:eastAsia="en-AU"/>
        </w:rPr>
        <w:t>) receive for the delivery of services (including passing money on as grants to artists and organisations), and “Total Cost” is the sum of all expenses for those entities.</w:t>
      </w:r>
    </w:p>
    <w:p w14:paraId="4168BC7E"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Basically, the payments are the slice of the budget going to different bits of the government as </w:t>
      </w:r>
      <w:proofErr w:type="gramStart"/>
      <w:r w:rsidRPr="00EF22E7">
        <w:rPr>
          <w:rFonts w:ascii="Times New Roman" w:eastAsia="Times New Roman" w:hAnsi="Times New Roman" w:cs="Times New Roman"/>
          <w:sz w:val="24"/>
          <w:szCs w:val="24"/>
          <w:lang w:eastAsia="en-AU"/>
        </w:rPr>
        <w:t>income</w:t>
      </w:r>
      <w:proofErr w:type="gramEnd"/>
      <w:r w:rsidRPr="00EF22E7">
        <w:rPr>
          <w:rFonts w:ascii="Times New Roman" w:eastAsia="Times New Roman" w:hAnsi="Times New Roman" w:cs="Times New Roman"/>
          <w:sz w:val="24"/>
          <w:szCs w:val="24"/>
          <w:lang w:eastAsia="en-AU"/>
        </w:rPr>
        <w:t xml:space="preserve"> so they can operate. The Total Cost is all their expenses. Scroll down a bit for another example - the Cultural Facilities Corporation’s operating budget from the Territory is its “Controlled Recurrent Payment”, while its “Total Cost” is all its expenses including employees, operating costs, and depreciation of assets.</w:t>
      </w:r>
    </w:p>
    <w:p w14:paraId="6A1401FE"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There is also a table of key targets that </w:t>
      </w:r>
      <w:proofErr w:type="spellStart"/>
      <w:r w:rsidRPr="00EF22E7">
        <w:rPr>
          <w:rFonts w:ascii="Times New Roman" w:eastAsia="Times New Roman" w:hAnsi="Times New Roman" w:cs="Times New Roman"/>
          <w:sz w:val="24"/>
          <w:szCs w:val="24"/>
          <w:lang w:eastAsia="en-AU"/>
        </w:rPr>
        <w:t>artsACT</w:t>
      </w:r>
      <w:proofErr w:type="spellEnd"/>
      <w:r w:rsidRPr="00EF22E7">
        <w:rPr>
          <w:rFonts w:ascii="Times New Roman" w:eastAsia="Times New Roman" w:hAnsi="Times New Roman" w:cs="Times New Roman"/>
          <w:sz w:val="24"/>
          <w:szCs w:val="24"/>
          <w:lang w:eastAsia="en-AU"/>
        </w:rPr>
        <w:t xml:space="preserve"> will be aiming to achieve in the coming year.</w:t>
      </w:r>
    </w:p>
    <w:p w14:paraId="1C9D4D69" w14:textId="4D53F440"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drawing>
          <wp:inline distT="0" distB="0" distL="0" distR="0" wp14:anchorId="7818AD77" wp14:editId="31957270">
            <wp:extent cx="4953000" cy="2428875"/>
            <wp:effectExtent l="0" t="0" r="0" b="9525"/>
            <wp:docPr id="2" name="Picture 2" descr="http://www.childersgroup.com.au/wp-content/uploads/2018/05/11.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ildersgroup.com.au/wp-content/uploads/2018/05/11.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53000" cy="2428875"/>
                    </a:xfrm>
                    <a:prstGeom prst="rect">
                      <a:avLst/>
                    </a:prstGeom>
                    <a:noFill/>
                    <a:ln>
                      <a:noFill/>
                    </a:ln>
                  </pic:spPr>
                </pic:pic>
              </a:graphicData>
            </a:graphic>
          </wp:inline>
        </w:drawing>
      </w:r>
    </w:p>
    <w:p w14:paraId="59AF6A58"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t>Changes to Appropriation</w:t>
      </w:r>
      <w:r w:rsidRPr="00EF22E7">
        <w:rPr>
          <w:rFonts w:ascii="Times New Roman" w:eastAsia="Times New Roman" w:hAnsi="Times New Roman" w:cs="Times New Roman"/>
          <w:sz w:val="24"/>
          <w:szCs w:val="24"/>
          <w:lang w:eastAsia="en-AU"/>
        </w:rPr>
        <w:t xml:space="preserve"> details all variations to the budget made in the previous </w:t>
      </w:r>
      <w:proofErr w:type="gramStart"/>
      <w:r w:rsidRPr="00EF22E7">
        <w:rPr>
          <w:rFonts w:ascii="Times New Roman" w:eastAsia="Times New Roman" w:hAnsi="Times New Roman" w:cs="Times New Roman"/>
          <w:sz w:val="24"/>
          <w:szCs w:val="24"/>
          <w:lang w:eastAsia="en-AU"/>
        </w:rPr>
        <w:t>year, and</w:t>
      </w:r>
      <w:proofErr w:type="gramEnd"/>
      <w:r w:rsidRPr="00EF22E7">
        <w:rPr>
          <w:rFonts w:ascii="Times New Roman" w:eastAsia="Times New Roman" w:hAnsi="Times New Roman" w:cs="Times New Roman"/>
          <w:sz w:val="24"/>
          <w:szCs w:val="24"/>
          <w:lang w:eastAsia="en-AU"/>
        </w:rPr>
        <w:t xml:space="preserve"> impacts of new policies. Significant changes should be identifiable in the Budget Outlook. This section also details budgets shifting between Directorates when responsibilities change.</w:t>
      </w:r>
    </w:p>
    <w:p w14:paraId="398F8A76"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b/>
          <w:bCs/>
          <w:sz w:val="24"/>
          <w:szCs w:val="24"/>
          <w:lang w:eastAsia="en-AU"/>
        </w:rPr>
        <w:lastRenderedPageBreak/>
        <w:t>Cultural Facilities Corporation</w:t>
      </w:r>
      <w:r w:rsidRPr="00EF22E7">
        <w:rPr>
          <w:rFonts w:ascii="Times New Roman" w:eastAsia="Times New Roman" w:hAnsi="Times New Roman" w:cs="Times New Roman"/>
          <w:sz w:val="24"/>
          <w:szCs w:val="24"/>
          <w:lang w:eastAsia="en-AU"/>
        </w:rPr>
        <w:t>’s section is self-contained and has a breakdown of their key activities, future priorities, employment levels, any new expenditure projects, and an operating statement. For structural reasons, the CFC posts a loss each year roughly equivalent to their depreciation expense, and where Theatre trading performs ahead of the budgeted loss this is added to the Theatre Reserve.</w:t>
      </w:r>
    </w:p>
    <w:p w14:paraId="52BF9833" w14:textId="28373DA2"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noProof/>
          <w:color w:val="0000FF"/>
          <w:sz w:val="24"/>
          <w:szCs w:val="24"/>
          <w:lang w:eastAsia="en-AU"/>
        </w:rPr>
        <w:drawing>
          <wp:inline distT="0" distB="0" distL="0" distR="0" wp14:anchorId="65C3934F" wp14:editId="7484DDA0">
            <wp:extent cx="4953000" cy="4371975"/>
            <wp:effectExtent l="0" t="0" r="0" b="9525"/>
            <wp:docPr id="1" name="Picture 1" descr="http://www.childersgroup.com.au/wp-content/uploads/2018/05/12.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ildersgroup.com.au/wp-content/uploads/2018/05/12.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3000" cy="4371975"/>
                    </a:xfrm>
                    <a:prstGeom prst="rect">
                      <a:avLst/>
                    </a:prstGeom>
                    <a:noFill/>
                    <a:ln>
                      <a:noFill/>
                    </a:ln>
                  </pic:spPr>
                </pic:pic>
              </a:graphicData>
            </a:graphic>
          </wp:inline>
        </w:drawing>
      </w:r>
    </w:p>
    <w:p w14:paraId="1B3EB35F" w14:textId="77777777" w:rsidR="00EF22E7" w:rsidRPr="00EF22E7" w:rsidRDefault="00EF22E7" w:rsidP="00EF22E7">
      <w:pPr>
        <w:spacing w:before="100" w:beforeAutospacing="1" w:after="100" w:afterAutospacing="1" w:line="240" w:lineRule="auto"/>
        <w:outlineLvl w:val="3"/>
        <w:rPr>
          <w:rFonts w:ascii="Times New Roman" w:eastAsia="Times New Roman" w:hAnsi="Times New Roman" w:cs="Times New Roman"/>
          <w:b/>
          <w:bCs/>
          <w:sz w:val="24"/>
          <w:szCs w:val="24"/>
          <w:lang w:eastAsia="en-AU"/>
        </w:rPr>
      </w:pPr>
      <w:r w:rsidRPr="00EF22E7">
        <w:rPr>
          <w:rFonts w:ascii="Times New Roman" w:eastAsia="Times New Roman" w:hAnsi="Times New Roman" w:cs="Times New Roman"/>
          <w:b/>
          <w:bCs/>
          <w:sz w:val="24"/>
          <w:szCs w:val="24"/>
          <w:lang w:eastAsia="en-AU"/>
        </w:rPr>
        <w:t>That’s all, folks</w:t>
      </w:r>
    </w:p>
    <w:p w14:paraId="4F740AFE"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That about wraps it up!</w:t>
      </w:r>
    </w:p>
    <w:p w14:paraId="31D6970E" w14:textId="77777777" w:rsidR="00EF22E7"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 xml:space="preserve">I’m hopeful we’ll see some good stuff in the Budget this year, both for </w:t>
      </w:r>
      <w:proofErr w:type="spellStart"/>
      <w:r w:rsidRPr="00EF22E7">
        <w:rPr>
          <w:rFonts w:ascii="Times New Roman" w:eastAsia="Times New Roman" w:hAnsi="Times New Roman" w:cs="Times New Roman"/>
          <w:sz w:val="24"/>
          <w:szCs w:val="24"/>
          <w:lang w:eastAsia="en-AU"/>
        </w:rPr>
        <w:t>artsACT</w:t>
      </w:r>
      <w:proofErr w:type="spellEnd"/>
      <w:r w:rsidRPr="00EF22E7">
        <w:rPr>
          <w:rFonts w:ascii="Times New Roman" w:eastAsia="Times New Roman" w:hAnsi="Times New Roman" w:cs="Times New Roman"/>
          <w:sz w:val="24"/>
          <w:szCs w:val="24"/>
          <w:lang w:eastAsia="en-AU"/>
        </w:rPr>
        <w:t xml:space="preserve"> funded activity by artists and arts orgs, maybe some more detail on the festivals and events promised before the last election, and maybe even seeing the ball start rolling for the Cultural Facilities Corporation and their long-awaited new Theatre.</w:t>
      </w:r>
    </w:p>
    <w:p w14:paraId="1FC4A358" w14:textId="7E2165CC" w:rsidR="00907790" w:rsidRPr="00EF22E7" w:rsidRDefault="00EF22E7" w:rsidP="00EF22E7">
      <w:pPr>
        <w:spacing w:before="100" w:beforeAutospacing="1" w:after="100" w:afterAutospacing="1" w:line="240" w:lineRule="auto"/>
        <w:rPr>
          <w:rFonts w:ascii="Times New Roman" w:eastAsia="Times New Roman" w:hAnsi="Times New Roman" w:cs="Times New Roman"/>
          <w:sz w:val="24"/>
          <w:szCs w:val="24"/>
          <w:lang w:eastAsia="en-AU"/>
        </w:rPr>
      </w:pPr>
      <w:r w:rsidRPr="00EF22E7">
        <w:rPr>
          <w:rFonts w:ascii="Times New Roman" w:eastAsia="Times New Roman" w:hAnsi="Times New Roman" w:cs="Times New Roman"/>
          <w:sz w:val="24"/>
          <w:szCs w:val="24"/>
          <w:lang w:eastAsia="en-AU"/>
        </w:rPr>
        <w:t>Tuesday 5 June is the day to watch. I hope this was helpful, and if you have any questions, or anything you spot that I’ve missed, let us know!</w:t>
      </w:r>
      <w:bookmarkStart w:id="0" w:name="_GoBack"/>
      <w:bookmarkEnd w:id="0"/>
    </w:p>
    <w:sectPr w:rsidR="00907790" w:rsidRPr="00EF22E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2E7"/>
    <w:rsid w:val="00242FC2"/>
    <w:rsid w:val="00EB708F"/>
    <w:rsid w:val="00EF22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6E402"/>
  <w15:chartTrackingRefBased/>
  <w15:docId w15:val="{8480D4C4-AE17-452B-8876-9BA729D31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EF22E7"/>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EF22E7"/>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2E7"/>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EF22E7"/>
    <w:rPr>
      <w:rFonts w:ascii="Times New Roman" w:eastAsia="Times New Roman" w:hAnsi="Times New Roman" w:cs="Times New Roman"/>
      <w:b/>
      <w:bCs/>
      <w:sz w:val="24"/>
      <w:szCs w:val="24"/>
      <w:lang w:eastAsia="en-AU"/>
    </w:rPr>
  </w:style>
  <w:style w:type="paragraph" w:styleId="NormalWeb">
    <w:name w:val="Normal (Web)"/>
    <w:basedOn w:val="Normal"/>
    <w:uiPriority w:val="99"/>
    <w:semiHidden/>
    <w:unhideWhenUsed/>
    <w:rsid w:val="00EF22E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EF22E7"/>
    <w:rPr>
      <w:color w:val="0000FF"/>
      <w:u w:val="single"/>
    </w:rPr>
  </w:style>
  <w:style w:type="character" w:styleId="Strong">
    <w:name w:val="Strong"/>
    <w:basedOn w:val="DefaultParagraphFont"/>
    <w:uiPriority w:val="22"/>
    <w:qFormat/>
    <w:rsid w:val="00EF22E7"/>
    <w:rPr>
      <w:b/>
      <w:bCs/>
    </w:rPr>
  </w:style>
  <w:style w:type="character" w:styleId="Emphasis">
    <w:name w:val="Emphasis"/>
    <w:basedOn w:val="DefaultParagraphFont"/>
    <w:uiPriority w:val="20"/>
    <w:qFormat/>
    <w:rsid w:val="00EF22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633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treasury.act.gov.au/__data/assets/pdf_file/0016/1070035/2017-18-Budget-Readers-Guide.pdf" TargetMode="External"/><Relationship Id="rId13" Type="http://schemas.openxmlformats.org/officeDocument/2006/relationships/image" Target="media/image4.png"/><Relationship Id="rId18" Type="http://schemas.openxmlformats.org/officeDocument/2006/relationships/hyperlink" Target="http://www.childersgroup.com.au/wp-content/uploads/2018/05/07.png" TargetMode="External"/><Relationship Id="rId26" Type="http://schemas.openxmlformats.org/officeDocument/2006/relationships/hyperlink" Target="http://www.childersgroup.com.au/wp-content/uploads/2018/05/11.png" TargetMode="External"/><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www.cmd.act.gov.au/functions/publications/2016-17annualreport" TargetMode="External"/><Relationship Id="rId12" Type="http://schemas.openxmlformats.org/officeDocument/2006/relationships/hyperlink" Target="http://www.childersgroup.com.au/wp-content/uploads/2018/05/03.png"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www.childersgroup.com.au/wp-content/uploads/2018/05/05.png" TargetMode="External"/><Relationship Id="rId20" Type="http://schemas.openxmlformats.org/officeDocument/2006/relationships/hyperlink" Target="http://www.childersgroup.com.au/wp-content/uploads/2018/05/08.png" TargetMode="External"/><Relationship Id="rId29"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hyperlink" Target="http://www.childersgroup.com.au/wp-content/uploads/2018/05/10.png" TargetMode="External"/><Relationship Id="rId5" Type="http://schemas.openxmlformats.org/officeDocument/2006/relationships/hyperlink" Target="http://www.childersgroup.com.au/wp-content/uploads/2018/05/12.jpg" TargetMode="Externa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childersgroup.com.au/wp-content/uploads/2018/05/12.png" TargetMode="External"/><Relationship Id="rId10" Type="http://schemas.openxmlformats.org/officeDocument/2006/relationships/hyperlink" Target="http://www.childersgroup.com.au/wp-content/uploads/2018/05/02.png"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hyperlink" Target="https://visualarts.net.au/news-opinion/2018/handy-guide-reading-government-budget-documents" TargetMode="External"/><Relationship Id="rId9" Type="http://schemas.openxmlformats.org/officeDocument/2006/relationships/image" Target="media/image2.jpeg"/><Relationship Id="rId14" Type="http://schemas.openxmlformats.org/officeDocument/2006/relationships/hyperlink" Target="http://www.childersgroup.com.au/wp-content/uploads/2018/05/04.png" TargetMode="External"/><Relationship Id="rId22" Type="http://schemas.openxmlformats.org/officeDocument/2006/relationships/hyperlink" Target="http://www.childersgroup.com.au/wp-content/uploads/2018/05/09.png" TargetMode="Externa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1469</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Lloyd</dc:creator>
  <cp:keywords/>
  <dc:description/>
  <cp:lastModifiedBy>Jack Lloyd</cp:lastModifiedBy>
  <cp:revision>1</cp:revision>
  <dcterms:created xsi:type="dcterms:W3CDTF">2018-05-25T22:38:00Z</dcterms:created>
  <dcterms:modified xsi:type="dcterms:W3CDTF">2018-05-25T22:40:00Z</dcterms:modified>
</cp:coreProperties>
</file>